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AB" w:rsidRPr="00742C74" w:rsidRDefault="00D02E0C" w:rsidP="002935AB">
      <w:pPr>
        <w:spacing w:after="120" w:line="264" w:lineRule="auto"/>
        <w:ind w:right="113"/>
        <w:jc w:val="center"/>
        <w:rPr>
          <w:rFonts w:cs="Times New Roman"/>
          <w:b/>
          <w:color w:val="17365D" w:themeColor="text2" w:themeShade="BF"/>
          <w:sz w:val="28"/>
          <w:szCs w:val="28"/>
        </w:rPr>
      </w:pPr>
      <w:r w:rsidRPr="00742C74">
        <w:rPr>
          <w:rFonts w:cs="Times New Roman"/>
          <w:b/>
          <w:color w:val="17365D" w:themeColor="text2" w:themeShade="BF"/>
          <w:sz w:val="28"/>
          <w:szCs w:val="28"/>
        </w:rPr>
        <w:t>УКАЗАНИЯ</w:t>
      </w:r>
      <w:r w:rsidR="002935AB" w:rsidRPr="00742C74">
        <w:rPr>
          <w:rFonts w:cs="Times New Roman"/>
          <w:b/>
          <w:color w:val="17365D" w:themeColor="text2" w:themeShade="BF"/>
          <w:sz w:val="28"/>
          <w:szCs w:val="28"/>
        </w:rPr>
        <w:t xml:space="preserve"> по заполнению формы федерального статистического наблюдения </w:t>
      </w:r>
      <w:r w:rsidRPr="00742C74">
        <w:rPr>
          <w:rFonts w:cs="Times New Roman"/>
          <w:b/>
          <w:color w:val="17365D" w:themeColor="text2" w:themeShade="BF"/>
          <w:sz w:val="28"/>
          <w:szCs w:val="28"/>
        </w:rPr>
        <w:br/>
        <w:t>№1-СОНК</w:t>
      </w:r>
      <w:proofErr w:type="gramStart"/>
      <w:r w:rsidRPr="00742C74">
        <w:rPr>
          <w:rFonts w:cs="Times New Roman"/>
          <w:b/>
          <w:color w:val="17365D" w:themeColor="text2" w:themeShade="BF"/>
          <w:sz w:val="28"/>
          <w:szCs w:val="28"/>
        </w:rPr>
        <w:t>О(</w:t>
      </w:r>
      <w:proofErr w:type="gramEnd"/>
      <w:r w:rsidRPr="00742C74">
        <w:rPr>
          <w:rFonts w:cs="Times New Roman"/>
          <w:b/>
          <w:color w:val="17365D" w:themeColor="text2" w:themeShade="BF"/>
          <w:sz w:val="28"/>
          <w:szCs w:val="28"/>
        </w:rPr>
        <w:t xml:space="preserve">Р) </w:t>
      </w:r>
      <w:r w:rsidRPr="00742C74">
        <w:rPr>
          <w:rFonts w:cs="Times New Roman"/>
          <w:b/>
          <w:i/>
          <w:color w:val="17365D" w:themeColor="text2" w:themeShade="BF"/>
          <w:sz w:val="28"/>
          <w:szCs w:val="28"/>
        </w:rPr>
        <w:t>«Сведения о деятельности религиозной организации»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1. Форму федерального статистического наблюдения № 1-СОНК</w:t>
      </w:r>
      <w:proofErr w:type="gramStart"/>
      <w:r w:rsidRPr="00ED10F7">
        <w:rPr>
          <w:rFonts w:cs="Times New Roman"/>
        </w:rPr>
        <w:t>О(</w:t>
      </w:r>
      <w:proofErr w:type="gramEnd"/>
      <w:r w:rsidRPr="00ED10F7">
        <w:rPr>
          <w:rFonts w:cs="Times New Roman"/>
        </w:rPr>
        <w:t xml:space="preserve">Р) «Сведения о деятельности религиозной организации» </w:t>
      </w:r>
      <w:r w:rsidRPr="00ED10F7">
        <w:rPr>
          <w:rFonts w:cs="Times New Roman"/>
        </w:rPr>
        <w:br/>
        <w:t xml:space="preserve">(далее – форма) предоставляют юридические лица – некоммерческие организации, являющиеся религиозными. </w:t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 xml:space="preserve">От Русской Православной Церкви отчитываются епархии. Епархии Русской Православной Церкви включают в свою отчетность сводную информацию всех канонических подразделений, входящих в их состав. Религиозные организации, применяющие упрощенную систему налогообложения, предоставляют отчетность на общих основаниях. 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Юридическое лицо заполняет настоящую форму и предоставляет ее в территориальный орган Росстата по месту своего нахождения.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Согласно статье 54 Гражданского кодекса Российской Федерации место нахождения юридического лица определяется местом его государственной регистрации. 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  <w:color w:val="000000"/>
        </w:rPr>
        <w:t xml:space="preserve">При наличии у юридического лица обособленных подразделений настоящая форма заполняется в целом по юридическому лицу </w:t>
      </w:r>
      <w:r w:rsidRPr="00ED10F7">
        <w:rPr>
          <w:rFonts w:cs="Times New Roman"/>
          <w:color w:val="000000"/>
        </w:rPr>
        <w:br/>
        <w:t xml:space="preserve">с учетом данных обособленных </w:t>
      </w:r>
      <w:r w:rsidRPr="00ED10F7">
        <w:rPr>
          <w:rFonts w:cs="Times New Roman"/>
        </w:rPr>
        <w:t>подразделений</w:t>
      </w:r>
      <w:proofErr w:type="gramStart"/>
      <w:r w:rsidRPr="00ED10F7">
        <w:rPr>
          <w:rFonts w:cs="Times New Roman"/>
          <w:vertAlign w:val="superscript"/>
        </w:rPr>
        <w:t>1</w:t>
      </w:r>
      <w:proofErr w:type="gramEnd"/>
      <w:r w:rsidRPr="00ED10F7">
        <w:rPr>
          <w:rFonts w:cs="Times New Roman"/>
        </w:rPr>
        <w:t xml:space="preserve"> (в том числе осуществляющих деятельность за пределами Российской Федерации).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Руководитель юридического лица назначает должностных лиц, уполномоченных предоставлять статистическую информацию </w:t>
      </w:r>
      <w:r w:rsidRPr="00ED10F7">
        <w:rPr>
          <w:rFonts w:cs="Times New Roman"/>
        </w:rPr>
        <w:br/>
        <w:t>от имени юридического лица.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proofErr w:type="gramStart"/>
      <w:r w:rsidRPr="00ED10F7">
        <w:rPr>
          <w:rFonts w:cs="Times New Roman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(фактический адрес).</w:t>
      </w:r>
      <w:proofErr w:type="gramEnd"/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При заполнении кодовой зоны титульного </w:t>
      </w:r>
      <w:proofErr w:type="gramStart"/>
      <w:r w:rsidRPr="00ED10F7">
        <w:rPr>
          <w:rFonts w:cs="Times New Roman"/>
        </w:rPr>
        <w:t>листа</w:t>
      </w:r>
      <w:proofErr w:type="gramEnd"/>
      <w:r w:rsidRPr="00ED10F7">
        <w:rPr>
          <w:rFonts w:cs="Times New Roman"/>
        </w:rPr>
        <w:t xml:space="preserve"> отчитывающиеся юридические лица проставляют код Общероссийского классификатора предприятий и организаций (ОКПО) на основании Уведомления о присвоении кода ОКПО, размещенного на </w:t>
      </w:r>
      <w:proofErr w:type="spellStart"/>
      <w:r w:rsidRPr="00ED10F7">
        <w:rPr>
          <w:rFonts w:cs="Times New Roman"/>
        </w:rPr>
        <w:t>интернет-портале</w:t>
      </w:r>
      <w:proofErr w:type="spellEnd"/>
      <w:r w:rsidRPr="00ED10F7">
        <w:rPr>
          <w:rFonts w:cs="Times New Roman"/>
        </w:rPr>
        <w:t xml:space="preserve"> Росстата: http://websbor.gks.ru/online/#!/gs/statistic-codes.</w:t>
      </w:r>
    </w:p>
    <w:p w:rsidR="002935AB" w:rsidRPr="00ED10F7" w:rsidRDefault="002935AB" w:rsidP="002935AB">
      <w:pPr>
        <w:ind w:firstLine="697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 xml:space="preserve">Религиозные организации заполняют сведения на основе первичных учетных документов, сметы доходов и расходов, документов бухгалтерского, налогового учета. 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При отсутствии наблюдаемого по форме явления за отчетный период необходимо направить подписанный в установленном порядке отчет по форме, </w:t>
      </w:r>
      <w:r w:rsidRPr="00ED10F7">
        <w:rPr>
          <w:rFonts w:cs="Times New Roman"/>
          <w:color w:val="000000"/>
        </w:rPr>
        <w:t>не заполненный</w:t>
      </w:r>
      <w:r w:rsidRPr="00ED10F7">
        <w:rPr>
          <w:rFonts w:cs="Times New Roman"/>
        </w:rPr>
        <w:t xml:space="preserve"> значениями показателей («пустой» отчет по форме).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  <w:color w:val="000000"/>
        </w:rPr>
        <w:t xml:space="preserve">2. </w:t>
      </w:r>
      <w:r w:rsidRPr="00ED10F7">
        <w:rPr>
          <w:rFonts w:cs="Times New Roman"/>
          <w:b/>
          <w:color w:val="000000"/>
        </w:rPr>
        <w:t xml:space="preserve">В Разделе </w:t>
      </w:r>
      <w:r w:rsidRPr="00ED10F7">
        <w:rPr>
          <w:rFonts w:cs="Times New Roman"/>
          <w:b/>
        </w:rPr>
        <w:t>2 «Источники и объемы формирования денежных средств и иного имущества организации»</w:t>
      </w:r>
      <w:r w:rsidRPr="00ED10F7">
        <w:rPr>
          <w:rFonts w:cs="Times New Roman"/>
        </w:rPr>
        <w:t xml:space="preserve"> указываются денежные средства и иное имущество (стоимость, по которой оно принято на баланс), полученные религиозной организацией за отчетный год. 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</w:p>
    <w:p w:rsidR="002935AB" w:rsidRPr="00ED10F7" w:rsidRDefault="002935AB" w:rsidP="002935AB">
      <w:pPr>
        <w:ind w:firstLine="567"/>
        <w:jc w:val="both"/>
        <w:rPr>
          <w:rFonts w:cs="Times New Roman"/>
        </w:rPr>
      </w:pPr>
      <w:r w:rsidRPr="00ED10F7">
        <w:rPr>
          <w:rFonts w:cs="Times New Roman"/>
        </w:rPr>
        <w:t>____________________</w:t>
      </w:r>
    </w:p>
    <w:p w:rsidR="002935AB" w:rsidRPr="00ED10F7" w:rsidRDefault="002935AB" w:rsidP="002935AB">
      <w:pPr>
        <w:jc w:val="both"/>
        <w:rPr>
          <w:rFonts w:cs="Times New Roman"/>
          <w:sz w:val="20"/>
        </w:rPr>
      </w:pPr>
      <w:r w:rsidRPr="00ED10F7">
        <w:rPr>
          <w:rFonts w:cs="Times New Roman"/>
          <w:sz w:val="20"/>
          <w:vertAlign w:val="superscript"/>
        </w:rPr>
        <w:t xml:space="preserve">               1 </w:t>
      </w:r>
      <w:r w:rsidRPr="00ED10F7">
        <w:rPr>
          <w:rFonts w:cs="Times New Roman"/>
          <w:sz w:val="20"/>
        </w:rPr>
        <w:t xml:space="preserve">Обособленное подразделение организации </w:t>
      </w:r>
      <w:r w:rsidRPr="00ED10F7">
        <w:rPr>
          <w:rFonts w:cs="Times New Roman"/>
          <w:sz w:val="20"/>
        </w:rPr>
        <w:sym w:font="Symbol" w:char="F02D"/>
      </w:r>
      <w:r w:rsidRPr="00ED10F7">
        <w:rPr>
          <w:rFonts w:cs="Times New Roman"/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:rsidR="002935AB" w:rsidRPr="00ED10F7" w:rsidRDefault="002935AB" w:rsidP="002935AB">
      <w:pPr>
        <w:spacing w:after="200" w:line="276" w:lineRule="auto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br w:type="page"/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lastRenderedPageBreak/>
        <w:t xml:space="preserve">По строкам 40, 42 </w:t>
      </w:r>
      <w:r w:rsidRPr="00ED10F7">
        <w:rPr>
          <w:rFonts w:cs="Times New Roman"/>
        </w:rPr>
        <w:t xml:space="preserve">– </w:t>
      </w:r>
      <w:r w:rsidRPr="00ED10F7">
        <w:rPr>
          <w:rFonts w:cs="Times New Roman"/>
          <w:color w:val="000000"/>
        </w:rPr>
        <w:t xml:space="preserve">44 отражаются целевые средства, полученные религиозными организациями из федерального бюджета, бюджетов субъектов Российской Федерации, местных бюджетов, государственных внебюджетных фондов. 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По строке 41 отражаются гранты, полученные от Фонда президентских грантов за счет субсидий из федерального бюджета. 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Грантами в соответствии с подпунктом 14 пункта 1 статьи 251 Налогового кодекса Российской Федерации признаются денежные средства или иное имущество в случае, если их передача (получение) удовлетворяет следующим условиям: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 w:rsidRPr="00ED10F7">
        <w:rPr>
          <w:rFonts w:cs="Times New Roman"/>
        </w:rPr>
        <w:t xml:space="preserve">гранты предоставляются на безвозмездной и безвозвратной основах российскими физическими лицами, некоммерческими организациями, а также иностранными и международными организациями и объединениями по перечню таких организаций, утверждаемому Правительством Российской Федерации, на осуществление конкретных программ в области образования, искусства, культуры, науки, физической культуры и спорта (за исключением профессионального спорта), охраны здоровья, охраны окружающей среды, защиты прав </w:t>
      </w:r>
      <w:r w:rsidRPr="00ED10F7">
        <w:rPr>
          <w:rFonts w:cs="Times New Roman"/>
        </w:rPr>
        <w:br/>
        <w:t>и свобод человека и гражданина, предусмотренных законодательством</w:t>
      </w:r>
      <w:proofErr w:type="gramEnd"/>
      <w:r w:rsidRPr="00ED10F7">
        <w:rPr>
          <w:rFonts w:cs="Times New Roman"/>
        </w:rPr>
        <w:t xml:space="preserve"> Российской Федерации, социального обслуживания малоимущих </w:t>
      </w:r>
      <w:r w:rsidRPr="00ED10F7">
        <w:rPr>
          <w:rFonts w:cs="Times New Roman"/>
        </w:rPr>
        <w:br/>
        <w:t>и социально незащищенных категорий граждан, а в случае предоставления грантов Президента Российской Федерации – на осуществление деятельности (программ, проектов), определенной актами Президента Российской Федерации;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гранты предоставляются на условиях, определяемых </w:t>
      </w:r>
      <w:proofErr w:type="spellStart"/>
      <w:r w:rsidRPr="00ED10F7">
        <w:rPr>
          <w:rFonts w:cs="Times New Roman"/>
        </w:rPr>
        <w:t>грантодателем</w:t>
      </w:r>
      <w:proofErr w:type="spellEnd"/>
      <w:r w:rsidRPr="00ED10F7">
        <w:rPr>
          <w:rFonts w:cs="Times New Roman"/>
        </w:rPr>
        <w:t xml:space="preserve">, с обязательным предоставлением </w:t>
      </w:r>
      <w:proofErr w:type="spellStart"/>
      <w:r w:rsidRPr="00ED10F7">
        <w:rPr>
          <w:rFonts w:cs="Times New Roman"/>
        </w:rPr>
        <w:t>грантодателю</w:t>
      </w:r>
      <w:proofErr w:type="spellEnd"/>
      <w:r w:rsidRPr="00ED10F7">
        <w:rPr>
          <w:rFonts w:cs="Times New Roman"/>
        </w:rPr>
        <w:t xml:space="preserve"> отчета о целевом использовании гранта.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Строки с 45 по 51 заполняют религиозные организации, получившие в течение отчетного года денежные средства и иное имущество </w:t>
      </w:r>
      <w:r w:rsidRPr="00ED10F7">
        <w:rPr>
          <w:rFonts w:cs="Times New Roman"/>
        </w:rPr>
        <w:br/>
        <w:t xml:space="preserve">от международных и иностранных организаций, иностранных граждан, лиц без гражданства. 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По строке 45 отражаются пожертвования, добровольные взносы, включая имущественные, и иные целевые поступления, гранты, поступившие безвозмездно в виде гуманитарной помощи и других безвозмездных поступлений. Пожертвованием согласно статье 582 Гражданского кодекса Российской Федерации признается дарение вещи или права в общеполезных целях.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  <w:iCs/>
        </w:rPr>
      </w:pPr>
      <w:r w:rsidRPr="00ED10F7">
        <w:rPr>
          <w:rFonts w:cs="Times New Roman"/>
        </w:rPr>
        <w:t xml:space="preserve">По строке 47 отражаются денежные средства или иное имущество, полученное из-за рубежа от юридических и физических лиц, </w:t>
      </w:r>
      <w:r w:rsidRPr="00ED10F7">
        <w:rPr>
          <w:rFonts w:cs="Times New Roman"/>
        </w:rPr>
        <w:br/>
        <w:t xml:space="preserve">а </w:t>
      </w:r>
      <w:r w:rsidRPr="00ED10F7">
        <w:rPr>
          <w:rFonts w:cs="Times New Roman"/>
          <w:color w:val="000000"/>
        </w:rPr>
        <w:t xml:space="preserve">также </w:t>
      </w:r>
      <w:r w:rsidRPr="00ED10F7">
        <w:rPr>
          <w:rFonts w:cs="Times New Roman"/>
        </w:rPr>
        <w:t>гранты, техническая помощь от иностранных государств.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При заполнении строки 50 следует руководствоваться следующим. </w:t>
      </w:r>
      <w:proofErr w:type="gramStart"/>
      <w:r w:rsidRPr="00ED10F7">
        <w:rPr>
          <w:rFonts w:cs="Times New Roman"/>
        </w:rPr>
        <w:t xml:space="preserve">В соответствии со статьей 24 Федерального закона </w:t>
      </w:r>
      <w:r w:rsidRPr="00ED10F7">
        <w:rPr>
          <w:rFonts w:cs="Times New Roman"/>
        </w:rPr>
        <w:br/>
        <w:t xml:space="preserve">от 12 января 1996 г. № 7-ФЗ «О некоммерческих организациях», статьей 23 Федерального закона от 26 сентября 1997 г. № 125-ФЗ </w:t>
      </w:r>
      <w:r w:rsidRPr="00ED10F7">
        <w:rPr>
          <w:rFonts w:cs="Times New Roman"/>
        </w:rPr>
        <w:br/>
        <w:t>«О свободе совести и о религиозных объединениях» религиозная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</w:t>
      </w:r>
      <w:proofErr w:type="gramEnd"/>
      <w:r w:rsidRPr="00ED10F7">
        <w:rPr>
          <w:rFonts w:cs="Times New Roman"/>
        </w:rPr>
        <w:t>, что такая деятельность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  Некоммерческая организация ведет учет доходов и расходов по предпринимательской и иной приносящей доходы деятельности.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>Положением по бухгалтерскому учету «Доходы организации» ПБУ 9/99, утвержденным приказом Минфина России от 6 мая 1999 г. № 32н (зарегистрирован Минюстом России 31 мая 1999 г., регистрационный № 1791) установлено, что не признаются доходами организации поступления: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сумм налога на добавленную стоимость, акцизов, налога с продаж, экспортных пошлин и иных аналогичных обязательных платежей;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по договорам комиссии, агентским и иным аналогичным договорам в пользу комитента, принципала и тому подобное;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в порядке предварительной оплаты продукции, товаров, работ, услуг;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авансов в счет оплаты продукции, товаров, работ, услуг;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задатка;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в залог, если договором предусмотрена передача заложенного имущества залогодержателю;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в погашение кредита, займа, предоставленного заемщику.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 xml:space="preserve">Положением по бухгалтерскому учету «Доходы организации» ПБУ 9/99, утвержденного приказом Минфина России от 6 мая 1999 г. № 32н (зарегистрирован Минюстом России 31 мая 1999 г., регистрационный № 1791) установлено, что к доходам относятся выручка </w:t>
      </w:r>
      <w:r w:rsidRPr="00ED10F7">
        <w:rPr>
          <w:rFonts w:cs="Times New Roman"/>
          <w:color w:val="000000"/>
        </w:rPr>
        <w:br/>
      </w:r>
      <w:r w:rsidRPr="00ED10F7">
        <w:rPr>
          <w:rFonts w:cs="Times New Roman"/>
          <w:color w:val="000000"/>
        </w:rPr>
        <w:lastRenderedPageBreak/>
        <w:t xml:space="preserve">от продажи продукции и товаров, поступления, связанные с выполнением работ, оказанием услуг; </w:t>
      </w:r>
      <w:proofErr w:type="gramStart"/>
      <w:r w:rsidRPr="00ED10F7">
        <w:rPr>
          <w:rFonts w:cs="Times New Roman"/>
          <w:color w:val="000000"/>
        </w:rPr>
        <w:t xml:space="preserve">поступления, связанные </w:t>
      </w:r>
      <w:r w:rsidRPr="00ED10F7">
        <w:rPr>
          <w:rFonts w:cs="Times New Roman"/>
          <w:color w:val="000000"/>
        </w:rPr>
        <w:br/>
        <w:t xml:space="preserve">с предоставлением за плату во временное пользование (временное владение и пользование) активов организации; поступления, связанные </w:t>
      </w:r>
      <w:r w:rsidRPr="00ED10F7">
        <w:rPr>
          <w:rFonts w:cs="Times New Roman"/>
          <w:color w:val="000000"/>
        </w:rPr>
        <w:br/>
        <w:t>с предоставлением за плату прав, возникающих из патентов на изобретения, промышленные образцы и других видов интеллектуальной собственности; поступления, связанные с участием в уставных капиталах других организаций (включая проценты и иные доходы по ценным бумагам);</w:t>
      </w:r>
      <w:proofErr w:type="gramEnd"/>
      <w:r w:rsidRPr="00ED10F7">
        <w:rPr>
          <w:rFonts w:cs="Times New Roman"/>
          <w:color w:val="000000"/>
        </w:rPr>
        <w:t xml:space="preserve"> прибыль, полученная организацией в результате совместной деятельности (по договору простого товарищества); поступления </w:t>
      </w:r>
      <w:r w:rsidRPr="00ED10F7">
        <w:rPr>
          <w:rFonts w:cs="Times New Roman"/>
          <w:color w:val="000000"/>
        </w:rPr>
        <w:br/>
        <w:t xml:space="preserve">от продажи основных средств и иных активов, отличных от денежных средств (кроме иностранной валюты); проценты, полученные </w:t>
      </w:r>
      <w:r w:rsidRPr="00ED10F7">
        <w:rPr>
          <w:rFonts w:cs="Times New Roman"/>
          <w:color w:val="000000"/>
        </w:rPr>
        <w:br/>
        <w:t xml:space="preserve">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 штрафы, пени, неустойки за нарушение условий договоров; активы, полученные безвозмездно, в том числе по договору дарения; поступления в возмещение причиненных организации убытков; прибыль прошлых лет, выявленная в отчетном году; суммы кредиторской и депонентской задолженности, по которым истек срок исковой давности; курсовые разницы; сумма </w:t>
      </w:r>
      <w:proofErr w:type="spellStart"/>
      <w:r w:rsidRPr="00ED10F7">
        <w:rPr>
          <w:rFonts w:cs="Times New Roman"/>
          <w:color w:val="000000"/>
        </w:rPr>
        <w:t>дооценки</w:t>
      </w:r>
      <w:proofErr w:type="spellEnd"/>
      <w:r w:rsidRPr="00ED10F7">
        <w:rPr>
          <w:rFonts w:cs="Times New Roman"/>
          <w:color w:val="000000"/>
        </w:rPr>
        <w:t xml:space="preserve"> активов; прочие доходы.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  <w:color w:val="000000"/>
        </w:rPr>
        <w:t xml:space="preserve">По строке 51 отражаются иные поступления, не отраженные по строкам 40 </w:t>
      </w:r>
      <w:r w:rsidRPr="00ED10F7">
        <w:rPr>
          <w:rFonts w:cs="Times New Roman"/>
          <w:color w:val="000000"/>
        </w:rPr>
        <w:sym w:font="Symbol" w:char="F02D"/>
      </w:r>
      <w:r w:rsidRPr="00ED10F7">
        <w:rPr>
          <w:rFonts w:cs="Times New Roman"/>
          <w:color w:val="000000"/>
        </w:rPr>
        <w:t xml:space="preserve"> 50, в частности, возврат займов</w:t>
      </w:r>
      <w:r w:rsidRPr="00ED10F7">
        <w:rPr>
          <w:rFonts w:cs="Times New Roman"/>
        </w:rPr>
        <w:t>, предоставленных другим лицам; средства, формирующие в соответствии с Жилищным кодексом Российской Федерации фонд капитального ремонта общего имущества в многоквартирном доме.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3.</w:t>
      </w:r>
      <w:r w:rsidRPr="00ED10F7">
        <w:rPr>
          <w:rFonts w:cs="Times New Roman"/>
          <w:b/>
        </w:rPr>
        <w:t xml:space="preserve"> В Разделе 3</w:t>
      </w:r>
      <w:r w:rsidRPr="00ED10F7">
        <w:rPr>
          <w:rFonts w:cs="Times New Roman"/>
        </w:rPr>
        <w:t xml:space="preserve"> </w:t>
      </w:r>
      <w:r w:rsidRPr="00ED10F7">
        <w:rPr>
          <w:rFonts w:cs="Times New Roman"/>
          <w:b/>
        </w:rPr>
        <w:t>«Использование денежных средств и иного имущества религиозной организацией, получившей денежные средства и иное имущество от международных иностранных организаций, иностранных граждан и лиц без гражданства»</w:t>
      </w:r>
      <w:r w:rsidRPr="00ED10F7">
        <w:rPr>
          <w:rFonts w:cs="Times New Roman"/>
        </w:rPr>
        <w:t xml:space="preserve"> указываются расходы религиозной организации за счет источников, указанных в разделе 2.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По строке 52 отражаются расходы по видам деятельности, определенным как основные в соответствии с формой № ОР0001 отчета, утвержденного приказом Минюста России от 16 августа 2018 г. № 170 «Об утверждении форм отчетности некоммерческих организаций». 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 w:rsidRPr="00ED10F7">
        <w:rPr>
          <w:rFonts w:cs="Times New Roman"/>
        </w:rPr>
        <w:t>По строке 53 отражаются расходы на социальную и благотворительную помощь в виде пособий, взносов, финансирования соответствующих программ, а также расходы на приобретение товаров, оплату услуг, которые предоставляются юридическим и физическим лицам в натуральной форме путем безвозмездной передачи в собственность продуктов, одежды, лекарственных препаратов, медицинских изделий, технических средств реабилитации и (или) иных вещей.</w:t>
      </w:r>
      <w:proofErr w:type="gramEnd"/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4.</w:t>
      </w:r>
      <w:r w:rsidRPr="00ED10F7">
        <w:rPr>
          <w:rFonts w:cs="Times New Roman"/>
          <w:b/>
        </w:rPr>
        <w:t xml:space="preserve"> В Разделе 4 «Численность, начисленная заработная плата, выплаты социального характера и страховые взносы </w:t>
      </w:r>
      <w:r w:rsidRPr="00ED10F7">
        <w:rPr>
          <w:rFonts w:cs="Times New Roman"/>
          <w:b/>
        </w:rPr>
        <w:br/>
        <w:t>на обязательное социальное страхование»</w:t>
      </w:r>
      <w:r w:rsidRPr="00ED10F7">
        <w:rPr>
          <w:rFonts w:cs="Times New Roman"/>
        </w:rPr>
        <w:t xml:space="preserve"> по строке 60 отражается среднесписочная численность работников (без внешних совместителей и работников </w:t>
      </w:r>
      <w:proofErr w:type="spellStart"/>
      <w:r w:rsidRPr="00ED10F7">
        <w:rPr>
          <w:rFonts w:cs="Times New Roman"/>
        </w:rPr>
        <w:t>несписочного</w:t>
      </w:r>
      <w:proofErr w:type="spellEnd"/>
      <w:r w:rsidRPr="00ED10F7">
        <w:rPr>
          <w:rFonts w:cs="Times New Roman"/>
        </w:rPr>
        <w:t xml:space="preserve"> состава). Сведения о численности работников, занятых в осуществлении религиозной деятельности, в данной форме не отражаются. </w:t>
      </w:r>
    </w:p>
    <w:p w:rsidR="002935AB" w:rsidRPr="00ED10F7" w:rsidRDefault="002935AB" w:rsidP="002935AB">
      <w:pPr>
        <w:ind w:firstLine="680"/>
        <w:jc w:val="both"/>
        <w:rPr>
          <w:rFonts w:cs="Times New Roman"/>
        </w:rPr>
      </w:pPr>
      <w:r w:rsidRPr="00ED10F7">
        <w:rPr>
          <w:rFonts w:cs="Times New Roman"/>
        </w:rPr>
        <w:t>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</w:t>
      </w:r>
    </w:p>
    <w:p w:rsidR="002935AB" w:rsidRPr="00ED10F7" w:rsidRDefault="002935AB" w:rsidP="002935AB">
      <w:pPr>
        <w:ind w:firstLine="680"/>
        <w:jc w:val="both"/>
        <w:rPr>
          <w:rFonts w:cs="Times New Roman"/>
        </w:rPr>
      </w:pPr>
      <w:r w:rsidRPr="00ED10F7">
        <w:rPr>
          <w:rFonts w:cs="Times New Roman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2935AB" w:rsidRPr="00ED10F7" w:rsidRDefault="002935AB" w:rsidP="002935AB">
      <w:pPr>
        <w:ind w:firstLine="680"/>
        <w:jc w:val="both"/>
        <w:rPr>
          <w:rFonts w:cs="Times New Roman"/>
        </w:rPr>
      </w:pPr>
      <w:proofErr w:type="gramStart"/>
      <w:r w:rsidRPr="00ED10F7">
        <w:rPr>
          <w:rFonts w:cs="Times New Roman"/>
        </w:rPr>
        <w:t xml:space="preserve">По строке 61 в фонд заработной платы включаются начисленные организациями суммы оплаты труда в денежной и </w:t>
      </w:r>
      <w:proofErr w:type="spellStart"/>
      <w:r w:rsidRPr="00ED10F7">
        <w:rPr>
          <w:rFonts w:cs="Times New Roman"/>
        </w:rPr>
        <w:t>неденежной</w:t>
      </w:r>
      <w:proofErr w:type="spellEnd"/>
      <w:r w:rsidRPr="00ED10F7">
        <w:rPr>
          <w:rFonts w:cs="Times New Roman"/>
        </w:rPr>
        <w:t xml:space="preserve">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  <w:proofErr w:type="gramEnd"/>
    </w:p>
    <w:p w:rsidR="002935AB" w:rsidRPr="00ED10F7" w:rsidRDefault="002935AB" w:rsidP="002935AB">
      <w:pPr>
        <w:ind w:firstLine="680"/>
        <w:jc w:val="both"/>
        <w:rPr>
          <w:rFonts w:cs="Times New Roman"/>
        </w:rPr>
      </w:pPr>
      <w:r w:rsidRPr="00ED10F7">
        <w:rPr>
          <w:rFonts w:cs="Times New Roman"/>
        </w:rPr>
        <w:t xml:space="preserve">По строке 65 отражаются выплаты социального характера всех работников, которые включают суммы средств, связанные </w:t>
      </w:r>
      <w:r w:rsidRPr="00ED10F7">
        <w:rPr>
          <w:rFonts w:cs="Times New Roman"/>
        </w:rPr>
        <w:br/>
        <w:t xml:space="preserve">с предоставленными работникам социальными льготами, в частности, на лечение, отдых, проезд, трудоустройство (без пособий </w:t>
      </w:r>
      <w:r w:rsidRPr="00ED10F7">
        <w:rPr>
          <w:rFonts w:cs="Times New Roman"/>
        </w:rPr>
        <w:br/>
        <w:t>из государственных внебюджетных фондов).</w:t>
      </w:r>
    </w:p>
    <w:p w:rsidR="002935AB" w:rsidRPr="00ED10F7" w:rsidRDefault="002935AB" w:rsidP="002935AB">
      <w:pPr>
        <w:ind w:firstLine="680"/>
        <w:jc w:val="both"/>
        <w:rPr>
          <w:rFonts w:cs="Times New Roman"/>
        </w:rPr>
      </w:pPr>
      <w:proofErr w:type="gramStart"/>
      <w:r w:rsidRPr="00ED10F7">
        <w:rPr>
          <w:rFonts w:cs="Times New Roman"/>
        </w:rPr>
        <w:t xml:space="preserve">Подробные методологические указания по заполнению строк 60 – 65 формы изложены в Указаниях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</w:t>
      </w:r>
      <w:r w:rsidRPr="00ED10F7">
        <w:rPr>
          <w:rFonts w:cs="Times New Roman"/>
        </w:rPr>
        <w:lastRenderedPageBreak/>
        <w:t xml:space="preserve">работников», № П-5(м) «Основные сведения о деятельности организации», размещенных </w:t>
      </w:r>
      <w:r w:rsidRPr="00ED10F7">
        <w:rPr>
          <w:rFonts w:cs="Times New Roman"/>
          <w:color w:val="000000"/>
        </w:rPr>
        <w:t xml:space="preserve">на </w:t>
      </w:r>
      <w:proofErr w:type="spellStart"/>
      <w:r w:rsidRPr="00ED10F7">
        <w:rPr>
          <w:rFonts w:cs="Times New Roman"/>
          <w:color w:val="000000"/>
        </w:rPr>
        <w:t>интернет-портале</w:t>
      </w:r>
      <w:proofErr w:type="spellEnd"/>
      <w:r w:rsidRPr="00ED10F7">
        <w:rPr>
          <w:rFonts w:cs="Times New Roman"/>
          <w:color w:val="000000"/>
        </w:rPr>
        <w:t xml:space="preserve"> Росстата по</w:t>
      </w:r>
      <w:proofErr w:type="gramEnd"/>
      <w:r w:rsidRPr="00ED10F7">
        <w:rPr>
          <w:rFonts w:cs="Times New Roman"/>
          <w:color w:val="000000"/>
        </w:rPr>
        <w:t xml:space="preserve"> адресу: </w:t>
      </w:r>
      <w:r w:rsidRPr="00ED10F7">
        <w:rPr>
          <w:rFonts w:cs="Times New Roman"/>
          <w:color w:val="000000"/>
          <w:lang w:val="en-US"/>
        </w:rPr>
        <w:t>www</w:t>
      </w:r>
      <w:r w:rsidRPr="00ED10F7">
        <w:rPr>
          <w:rFonts w:cs="Times New Roman"/>
          <w:color w:val="000000"/>
        </w:rPr>
        <w:t>.</w:t>
      </w:r>
      <w:proofErr w:type="spellStart"/>
      <w:r w:rsidRPr="00ED10F7">
        <w:rPr>
          <w:rFonts w:cs="Times New Roman"/>
          <w:color w:val="000000"/>
        </w:rPr>
        <w:t>rosstat.gov.ru</w:t>
      </w:r>
      <w:proofErr w:type="spellEnd"/>
      <w:r w:rsidRPr="00ED10F7">
        <w:rPr>
          <w:rFonts w:cs="Times New Roman"/>
          <w:color w:val="000000"/>
        </w:rPr>
        <w:t xml:space="preserve"> / Респондентам / Формы федерального статистического наблюдения и формы бухгалтерской (финансовой) отчетности / Приказы Росстата об утверждении Указаний по заполнению форм федерального статистического наблюдения (с 2008 года).</w:t>
      </w:r>
      <w:r w:rsidRPr="00ED10F7">
        <w:rPr>
          <w:rFonts w:cs="Times New Roman"/>
        </w:rPr>
        <w:t xml:space="preserve"> 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По строке 66 отражаются страховые и другие взносы на обязательное пенсионное страхование; страховые взносы на обязательное социальное страхование на случай временной нетрудоспособности и в связи с материнством и детством; страховые взносы на обязательное медицинское страхование работающего населения; страховые взносы на обязательное страхование от несчастных случаев на производстве </w:t>
      </w:r>
      <w:r w:rsidRPr="00ED10F7">
        <w:rPr>
          <w:rFonts w:cs="Times New Roman"/>
        </w:rPr>
        <w:br/>
        <w:t>и профзаболеваний работников (включая работников списочного состава (без внешних совместителей), внешних совместителей, выполнявших работы по договорам гражданско-правового характера).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  <w:b/>
        </w:rPr>
        <w:t>5. В Разделе 5</w:t>
      </w:r>
      <w:r w:rsidRPr="00ED10F7">
        <w:rPr>
          <w:rFonts w:cs="Times New Roman"/>
        </w:rPr>
        <w:t xml:space="preserve"> </w:t>
      </w:r>
      <w:r w:rsidRPr="00ED10F7">
        <w:rPr>
          <w:rFonts w:cs="Times New Roman"/>
          <w:b/>
        </w:rPr>
        <w:t>«Наличие, движение и состав основных фондов»</w:t>
      </w:r>
      <w:r w:rsidRPr="00ED10F7">
        <w:rPr>
          <w:rFonts w:cs="Times New Roman"/>
        </w:rPr>
        <w:t xml:space="preserve"> по строкам 70 – 76 отражаются данные о наличии, движении </w:t>
      </w:r>
      <w:r w:rsidRPr="00ED10F7">
        <w:rPr>
          <w:rFonts w:cs="Times New Roman"/>
        </w:rPr>
        <w:br/>
        <w:t>и составе основных фондов.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В </w:t>
      </w:r>
      <w:hyperlink r:id="rId5" w:history="1">
        <w:r w:rsidRPr="00ED10F7">
          <w:rPr>
            <w:rFonts w:cs="Times New Roman"/>
          </w:rPr>
          <w:t xml:space="preserve">графе </w:t>
        </w:r>
      </w:hyperlink>
      <w:r w:rsidRPr="00ED10F7">
        <w:rPr>
          <w:rFonts w:cs="Times New Roman"/>
        </w:rPr>
        <w:t>3 приводятся данные о наличии основных фондов на начало года по полной учетной стоимости.</w:t>
      </w:r>
    </w:p>
    <w:p w:rsidR="002935AB" w:rsidRPr="00ED10F7" w:rsidRDefault="002935AB" w:rsidP="002935A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В </w:t>
      </w:r>
      <w:hyperlink r:id="rId6" w:history="1">
        <w:r w:rsidRPr="00ED10F7">
          <w:rPr>
            <w:rFonts w:cs="Times New Roman"/>
          </w:rPr>
          <w:t>графе 4</w:t>
        </w:r>
      </w:hyperlink>
      <w:r w:rsidRPr="00ED10F7">
        <w:rPr>
          <w:rFonts w:cs="Times New Roman"/>
        </w:rPr>
        <w:t xml:space="preserve"> приводятся данные об увеличении полной учетной стоимости основных фондов за отчетный год за счет создания новой стоимости, то есть принятия к бухгалтерскому учету в отчетном году:</w:t>
      </w:r>
    </w:p>
    <w:p w:rsidR="002935AB" w:rsidRPr="00ED10F7" w:rsidRDefault="002935AB" w:rsidP="002935A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ввода в действие новых объектов основных фондов (не относившихся ранее к основным фондам) при их приобретении, сооружении </w:t>
      </w:r>
      <w:r w:rsidRPr="00ED10F7">
        <w:rPr>
          <w:rFonts w:cs="Times New Roman"/>
        </w:rPr>
        <w:br/>
        <w:t xml:space="preserve">и изготовлении; </w:t>
      </w:r>
    </w:p>
    <w:p w:rsidR="002935AB" w:rsidRPr="00ED10F7" w:rsidRDefault="002935AB" w:rsidP="002935A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 w:rsidRPr="00ED10F7">
        <w:rPr>
          <w:rFonts w:cs="Times New Roman"/>
        </w:rPr>
        <w:t>внесении</w:t>
      </w:r>
      <w:proofErr w:type="gramEnd"/>
      <w:r w:rsidRPr="00ED10F7">
        <w:rPr>
          <w:rFonts w:cs="Times New Roman"/>
        </w:rPr>
        <w:t xml:space="preserve"> учредителями новых основных фондов в счет их вкладов в уставный (складочный) капитал; </w:t>
      </w:r>
    </w:p>
    <w:p w:rsidR="002935AB" w:rsidRPr="00ED10F7" w:rsidRDefault="002935AB" w:rsidP="002935A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 w:rsidRPr="00ED10F7">
        <w:rPr>
          <w:rFonts w:cs="Times New Roman"/>
        </w:rPr>
        <w:t>получении</w:t>
      </w:r>
      <w:proofErr w:type="gramEnd"/>
      <w:r w:rsidRPr="00ED10F7">
        <w:rPr>
          <w:rFonts w:cs="Times New Roman"/>
        </w:rPr>
        <w:t xml:space="preserve"> по договору дарения и иных случаях безвозмездного получения; при других поступлениях;</w:t>
      </w:r>
    </w:p>
    <w:p w:rsidR="002935AB" w:rsidRPr="00ED10F7" w:rsidRDefault="002935AB" w:rsidP="002935A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достройки, модернизации, реконструкции имеющихся объектов основных фондов.</w:t>
      </w:r>
    </w:p>
    <w:p w:rsidR="002935AB" w:rsidRPr="00ED10F7" w:rsidRDefault="002935AB" w:rsidP="002935A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В графе 5 учитывается наличие основных фондов на конец года по полной учетной стоимости, в графе 6 – по остаточной балансовой стоимости. </w:t>
      </w:r>
    </w:p>
    <w:p w:rsidR="002935AB" w:rsidRPr="00ED10F7" w:rsidRDefault="002935AB" w:rsidP="002935A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proofErr w:type="gramStart"/>
      <w:r w:rsidRPr="00ED10F7">
        <w:rPr>
          <w:rFonts w:cs="Times New Roman"/>
        </w:rPr>
        <w:t xml:space="preserve">В графе 7 отражаются инвестиции в основной капитал: затраты на строительство, реконструкцию (включая расширение </w:t>
      </w:r>
      <w:r w:rsidRPr="00ED10F7">
        <w:rPr>
          <w:rFonts w:cs="Times New Roman"/>
        </w:rPr>
        <w:br/>
        <w:t xml:space="preserve">и модернизацию) объектов, которые приводят к увеличению их первоначальной стоимости, приобретение машин, оборудования, транспортных средств, </w:t>
      </w:r>
      <w:r w:rsidRPr="00ED10F7">
        <w:rPr>
          <w:rFonts w:cs="Times New Roman"/>
          <w:color w:val="000000"/>
        </w:rPr>
        <w:t>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в объекты интеллектуальной собственности;</w:t>
      </w:r>
      <w:proofErr w:type="gramEnd"/>
      <w:r w:rsidRPr="00ED10F7">
        <w:rPr>
          <w:rFonts w:cs="Times New Roman"/>
          <w:color w:val="000000"/>
        </w:rPr>
        <w:t xml:space="preserve"> культивируемые биологические ресурсы (в соответствии с Общероссийским классификатором основных фондов (ОКОФ) ОК 013-2014 (СНС 2008), введенному в действие с 1 января 2017 г. приказом </w:t>
      </w:r>
      <w:proofErr w:type="spellStart"/>
      <w:r w:rsidRPr="00ED10F7">
        <w:rPr>
          <w:rFonts w:cs="Times New Roman"/>
          <w:color w:val="000000"/>
        </w:rPr>
        <w:t>Росстандарта</w:t>
      </w:r>
      <w:proofErr w:type="spellEnd"/>
      <w:r w:rsidRPr="00ED10F7">
        <w:rPr>
          <w:rFonts w:cs="Times New Roman"/>
          <w:color w:val="000000"/>
        </w:rPr>
        <w:t xml:space="preserve"> от 12 декабря 2014 г. № 2018-ст с изменениями, утвержденными приказом </w:t>
      </w:r>
      <w:proofErr w:type="spellStart"/>
      <w:r w:rsidRPr="00ED10F7">
        <w:rPr>
          <w:rFonts w:cs="Times New Roman"/>
          <w:color w:val="000000"/>
        </w:rPr>
        <w:t>Росстандарта</w:t>
      </w:r>
      <w:proofErr w:type="spellEnd"/>
      <w:r w:rsidRPr="00ED10F7">
        <w:rPr>
          <w:rFonts w:cs="Times New Roman"/>
          <w:color w:val="000000"/>
        </w:rPr>
        <w:t xml:space="preserve"> от 10 ноября 2015 г. № 1746-ст). По данной графе также отражаются затраты на приобретение поступивших по импорту основных средств.</w:t>
      </w:r>
    </w:p>
    <w:p w:rsidR="002935AB" w:rsidRPr="00ED10F7" w:rsidRDefault="002935AB" w:rsidP="002935A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Под полной учетной стоимостью основных фондов некоммерческих организаций в статистике понимается их отражаемая </w:t>
      </w:r>
      <w:r w:rsidRPr="00ED10F7">
        <w:rPr>
          <w:rFonts w:cs="Times New Roman"/>
        </w:rPr>
        <w:br/>
        <w:t>в бухгалтерском учете первоначальная стоимость, измененная в ходе проведенных переоценок основных фондов и в других случаях, предусмотренных действующими нормативными актами по учету основных средств.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Полная учетная стоимость для прошедших переоценку объектов основных фондов равна их восстановительной стоимости на дату последней проведенной переоценки, то есть стоимости воспроизводства в ценах, существовавших на эту дату. Для объектов, </w:t>
      </w:r>
      <w:r w:rsidRPr="00ED10F7">
        <w:rPr>
          <w:rFonts w:cs="Times New Roman"/>
        </w:rPr>
        <w:br/>
        <w:t>не проходивших переоценки, она равна первоначальной стоимости (стоимости приобретения в ценах, существовавших на дату приобретения), с учетом ее изменения в результате достройки, дооборудования, реконструкции и частичной ликвидации.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Под остаточной балансовой стоимостью понимается разница их полной учетной стоимости и величины учетного износа, начисленного за весь период с начала эксплуатации соответствующих объектов, с учетом их изменения в результате проведенных переоценок основных фондов.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В строке 70 отражаются все основные фонды организации, кроме незавершенных активов, находящиеся у нее на правах собственности, хозяйственного ведения, оперативного управления, договора аренды, договора финансовой аренды, и учитываемые ею </w:t>
      </w:r>
      <w:r w:rsidRPr="00ED10F7">
        <w:rPr>
          <w:rFonts w:cs="Times New Roman"/>
        </w:rPr>
        <w:br/>
        <w:t xml:space="preserve">на счетах учета основных средств, а также объекты интеллектуальной собственности. 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lastRenderedPageBreak/>
        <w:t>По строкам 71 – 76 все основные фонды организации распределяются по видовой структуре согласно ОКОФ.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Данные по жилым и нежилым зданиям учитываются по строке 71.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Здания, учитываемые в составе основных фондов, имеют в качестве основных конструктивных частей стены и крышу. Определение жилых и нежилых зданий, как и других видов основных фондов, приведено во введении к ОКОФ. При этом здания церквей, монастырей относятся к нежилым зданиям.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Данные по сооружениям учитываются по строке 72.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Примерами сооружений могут служить такие объекты, как автомобильные, железные дороги, плотины и другие гидротехнические сооружения; линии связи и электропередачи; местные трубопроводы и сооружения для отдыха, развлечений и проведения досуга.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Сооружения</w:t>
      </w:r>
      <w:proofErr w:type="gramStart"/>
      <w:r w:rsidRPr="00ED10F7">
        <w:rPr>
          <w:rFonts w:cs="Times New Roman"/>
          <w:vertAlign w:val="superscript"/>
        </w:rPr>
        <w:t>2</w:t>
      </w:r>
      <w:proofErr w:type="gramEnd"/>
      <w:r w:rsidRPr="00ED10F7">
        <w:rPr>
          <w:rFonts w:cs="Times New Roman"/>
        </w:rPr>
        <w:t xml:space="preserve"> являются объектами, прочно связанными с землей. Например, различного рода емкости для хранения различного рода веществ, установленные на фундаменты или иным способом прочно связанные с землей, относятся к сооружениям. Фундаменты под ними входят в состав данных сооружений.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По строке 73 учитываются расходы на улучшение земель, которые в соответствии с ОКОФ относятся к основным фондам. </w:t>
      </w:r>
      <w:proofErr w:type="gramStart"/>
      <w:r w:rsidRPr="00ED10F7">
        <w:rPr>
          <w:rFonts w:cs="Times New Roman"/>
        </w:rPr>
        <w:t xml:space="preserve">К ним относится стоимость осушительных, оросительных и других мелиоративных работ, например, осушение болот и ирригация пустынных земель путем строительства дамб, канав, оросительных каналов, расчистка земли от лесов, камней и тому подобного для последующего использования, освоение бывшего морского дна, предотвращение затопления или эрозии под воздействием морей и рек посредством строительства волноломов, берегоукрепительных сооружений, </w:t>
      </w:r>
      <w:proofErr w:type="spellStart"/>
      <w:r w:rsidRPr="00ED10F7">
        <w:rPr>
          <w:rFonts w:cs="Times New Roman"/>
        </w:rPr>
        <w:t>противопаводковых</w:t>
      </w:r>
      <w:proofErr w:type="spellEnd"/>
      <w:r w:rsidRPr="00ED10F7">
        <w:rPr>
          <w:rFonts w:cs="Times New Roman"/>
        </w:rPr>
        <w:t xml:space="preserve"> барьеров и так далее).</w:t>
      </w:r>
      <w:proofErr w:type="gramEnd"/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При этом по строке 73 по графе 5 выделяется стоимость капитальных вложений на коренное улучшение земель и других объектов природопользования за отчетный год, а по графе 6 отражается стоимость накопленных капитальных вложений на коренное улучшение земель и других объектов природопользования.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По строке 74 учитываются машины и оборудование, включая относящееся к оборудованию для информационно-телекоммуникационных технологий.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>По строке 75 учитываются транспортные средства, к которым, в соответствии с ОКОФ, относятся средства передвижения, предназначенные для перемещения людей и грузов: грузовые, легковые автомобили, тракторы, прицепы и полуприцепы, автобусы, локомотивы, вагоны, суда и прочие.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2935AB" w:rsidRPr="00ED10F7" w:rsidRDefault="002935AB" w:rsidP="002935AB">
      <w:pPr>
        <w:spacing w:line="260" w:lineRule="exact"/>
        <w:ind w:firstLine="709"/>
        <w:jc w:val="both"/>
        <w:rPr>
          <w:rFonts w:cs="Times New Roman"/>
          <w:sz w:val="20"/>
        </w:rPr>
      </w:pPr>
      <w:r w:rsidRPr="00ED10F7">
        <w:rPr>
          <w:rFonts w:cs="Times New Roman"/>
          <w:sz w:val="20"/>
        </w:rPr>
        <w:t>________________________</w:t>
      </w:r>
    </w:p>
    <w:p w:rsidR="002935AB" w:rsidRPr="00ED10F7" w:rsidRDefault="002935AB" w:rsidP="002935AB">
      <w:pPr>
        <w:ind w:firstLine="708"/>
        <w:jc w:val="both"/>
        <w:rPr>
          <w:rFonts w:cs="Times New Roman"/>
          <w:sz w:val="20"/>
        </w:rPr>
      </w:pPr>
      <w:r w:rsidRPr="00ED10F7">
        <w:rPr>
          <w:rFonts w:cs="Times New Roman"/>
          <w:sz w:val="20"/>
          <w:vertAlign w:val="superscript"/>
        </w:rPr>
        <w:t xml:space="preserve">2 </w:t>
      </w:r>
      <w:r w:rsidRPr="00ED10F7">
        <w:rPr>
          <w:rFonts w:cs="Times New Roman"/>
          <w:sz w:val="20"/>
        </w:rPr>
        <w:t>Значение понятия приведено исключительно в целях заполнения настоящей формы.</w:t>
      </w:r>
    </w:p>
    <w:p w:rsidR="002935AB" w:rsidRPr="00ED10F7" w:rsidRDefault="002935AB" w:rsidP="002935AB">
      <w:pPr>
        <w:jc w:val="both"/>
        <w:rPr>
          <w:rFonts w:cs="Times New Roman"/>
        </w:rPr>
      </w:pP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D10F7">
        <w:rPr>
          <w:rFonts w:cs="Times New Roman"/>
        </w:rPr>
        <w:t xml:space="preserve">По строке 76 учитываются другие, не перечисленные в строках 71 – 75, виды основных фондов. К ним относятся культивируемые биологические ресурсы, неоднократно дающие продукцию животного и растительного происхождения, объекты, относящиеся </w:t>
      </w:r>
      <w:r w:rsidRPr="00ED10F7">
        <w:rPr>
          <w:rFonts w:cs="Times New Roman"/>
        </w:rPr>
        <w:br/>
        <w:t>к интеллектуальной собственности и результатам интеллектуальной деятельности.</w:t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>6.</w:t>
      </w:r>
      <w:r w:rsidRPr="00ED10F7">
        <w:rPr>
          <w:rFonts w:cs="Times New Roman"/>
          <w:b/>
          <w:color w:val="000000"/>
        </w:rPr>
        <w:t> Раздел 6 «Ввод в эксплуатацию жилых и нежилых зданий»</w:t>
      </w:r>
      <w:r w:rsidRPr="00ED10F7">
        <w:rPr>
          <w:rFonts w:cs="Times New Roman"/>
          <w:color w:val="000000"/>
        </w:rPr>
        <w:t xml:space="preserve"> заполняют религиозные организации, которым выдано в отчетном периоде разрешение на ввод объекта в эксплуатацию, оформленное в установленном порядке в соответствии с действующим законодательством Российской Федерации о градостроительной деятельности. Выдача разрешений на ввод объектов в эксплуатацию регламентируется статьей 55 Градостроительного кодекса Российской Федерации. Форма разрешения на ввод объекта в эксплуатацию утверждена приказом Минстроя России</w:t>
      </w:r>
      <w:r w:rsidRPr="00ED10F7">
        <w:rPr>
          <w:rFonts w:cs="Times New Roman"/>
          <w:strike/>
          <w:color w:val="000000"/>
        </w:rPr>
        <w:t xml:space="preserve"> </w:t>
      </w:r>
      <w:r w:rsidRPr="00ED10F7">
        <w:rPr>
          <w:rFonts w:cs="Times New Roman"/>
          <w:color w:val="000000"/>
        </w:rPr>
        <w:t>от 19 февраля 2015 г. № 117/</w:t>
      </w:r>
      <w:proofErr w:type="spellStart"/>
      <w:proofErr w:type="gramStart"/>
      <w:r w:rsidRPr="00ED10F7">
        <w:rPr>
          <w:rFonts w:cs="Times New Roman"/>
          <w:color w:val="000000"/>
        </w:rPr>
        <w:t>пр</w:t>
      </w:r>
      <w:proofErr w:type="spellEnd"/>
      <w:proofErr w:type="gramEnd"/>
      <w:r w:rsidRPr="00ED10F7">
        <w:rPr>
          <w:rFonts w:cs="Times New Roman"/>
          <w:color w:val="000000"/>
        </w:rPr>
        <w:t xml:space="preserve"> (зарегистрирован Минюстом России 9 апреля 2015 г., регистрационный № 36782). Введенные в эксплуатацию объекты показываются в размерах, указанных в разрешениях на ввод объектов </w:t>
      </w:r>
      <w:r w:rsidRPr="00ED10F7">
        <w:rPr>
          <w:rFonts w:cs="Times New Roman"/>
          <w:color w:val="000000"/>
        </w:rPr>
        <w:br/>
        <w:t>в эксплуатацию (фактические значения раздела II «Сведения об объекте капитального строительства»).</w:t>
      </w:r>
    </w:p>
    <w:p w:rsidR="002935AB" w:rsidRPr="00ED10F7" w:rsidRDefault="002935AB" w:rsidP="002935AB">
      <w:pPr>
        <w:ind w:firstLine="709"/>
        <w:jc w:val="both"/>
        <w:rPr>
          <w:rFonts w:cs="Times New Roman"/>
        </w:rPr>
      </w:pPr>
      <w:r w:rsidRPr="00ED10F7">
        <w:rPr>
          <w:rFonts w:cs="Times New Roman"/>
          <w:color w:val="000000"/>
        </w:rPr>
        <w:t>В графе 4 показывается код характера строительства: строительство – 0; реконструкция – 3 на основании записи в пункте 1 разрешения на ввод объекта в эксплуатацию.</w:t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>В графе 5:</w:t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lastRenderedPageBreak/>
        <w:t>по строке 77 показывается ввод в действие общей площади жилых помещений в жилых зданиях (домах). Указанная площадь должна соответствовать фактическому значению показателя «Общая площадь жилых помещений (с учетом балконов, лоджий, веранд, террас)», отраженному в подпункте 2.2 раздела II  Разрешения на ввод объекта в эксплуатацию;</w:t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 xml:space="preserve">по строке 82 отражается ввод в действие общей площади жилых помещений во вновь построенных нежилых зданиях; </w:t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 xml:space="preserve">по строкам 78 </w:t>
      </w:r>
      <w:r w:rsidRPr="00ED10F7">
        <w:rPr>
          <w:rFonts w:cs="Times New Roman"/>
        </w:rPr>
        <w:t xml:space="preserve">– </w:t>
      </w:r>
      <w:r w:rsidRPr="00ED10F7">
        <w:rPr>
          <w:rFonts w:cs="Times New Roman"/>
          <w:color w:val="000000"/>
        </w:rPr>
        <w:t>81 отражаются данные о вводе в действие мощностей и объектов:</w:t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proofErr w:type="gramStart"/>
      <w:r w:rsidRPr="00ED10F7">
        <w:rPr>
          <w:rFonts w:cs="Times New Roman"/>
          <w:color w:val="000000"/>
        </w:rPr>
        <w:t xml:space="preserve">по строке 78 – культовые здания, строения, сооружения (церкви, храмы, часовни, колокольни, </w:t>
      </w:r>
      <w:proofErr w:type="spellStart"/>
      <w:r w:rsidRPr="00ED10F7">
        <w:rPr>
          <w:rFonts w:cs="Times New Roman"/>
          <w:color w:val="000000"/>
        </w:rPr>
        <w:t>крестильни</w:t>
      </w:r>
      <w:proofErr w:type="spellEnd"/>
      <w:r w:rsidRPr="00ED10F7">
        <w:rPr>
          <w:rFonts w:cs="Times New Roman"/>
          <w:color w:val="000000"/>
        </w:rPr>
        <w:t>, мечети, синагоги, костелы, кирхи, молитвенные дома и тому подобные), в единицах;</w:t>
      </w:r>
      <w:proofErr w:type="gramEnd"/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>по строке 79 – гостиницы, в местах;</w:t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>по строке 80 – общеобразовательные организации, в ученических местах;</w:t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>по строке 81 – предприятия общественного питания, в посадочных местах.</w:t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 xml:space="preserve">В графах 6, 7, 8 по строкам 77 </w:t>
      </w:r>
      <w:r w:rsidRPr="00ED10F7">
        <w:rPr>
          <w:rFonts w:cs="Times New Roman"/>
        </w:rPr>
        <w:t xml:space="preserve">– </w:t>
      </w:r>
      <w:r w:rsidRPr="00ED10F7">
        <w:rPr>
          <w:rFonts w:cs="Times New Roman"/>
          <w:color w:val="000000"/>
        </w:rPr>
        <w:t>81 отражаются сведения о количестве введенных зданий, их общем строительном объеме и общей площади.</w:t>
      </w:r>
    </w:p>
    <w:p w:rsidR="002935AB" w:rsidRPr="00ED10F7" w:rsidRDefault="002935AB" w:rsidP="002935AB">
      <w:pPr>
        <w:ind w:firstLine="709"/>
        <w:jc w:val="both"/>
        <w:rPr>
          <w:rFonts w:cs="Times New Roman"/>
          <w:color w:val="000000"/>
        </w:rPr>
      </w:pPr>
      <w:r w:rsidRPr="00ED10F7">
        <w:rPr>
          <w:rFonts w:cs="Times New Roman"/>
          <w:color w:val="000000"/>
        </w:rPr>
        <w:t>По всем строкам по реконструированным объектам капитального строительства по графе 5 отражается прирост мощности, вместимости, общей площади жилых помещений по сравнению с первоначальным значением. При этом графы 6, 7, 8 не заполняются.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</w:rPr>
      </w:pP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</w:rPr>
      </w:pPr>
      <w:r w:rsidRPr="00ED10F7">
        <w:rPr>
          <w:rFonts w:cs="Times New Roman"/>
          <w:b/>
          <w:color w:val="000000"/>
        </w:rPr>
        <w:t>Контроль показателей формы:</w:t>
      </w:r>
    </w:p>
    <w:p w:rsidR="002935AB" w:rsidRPr="00ED10F7" w:rsidRDefault="002935AB" w:rsidP="002935A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6946"/>
      </w:tblGrid>
      <w:tr w:rsidR="002935AB" w:rsidRPr="00ED10F7" w:rsidTr="00006AB5">
        <w:trPr>
          <w:jc w:val="center"/>
        </w:trPr>
        <w:tc>
          <w:tcPr>
            <w:tcW w:w="7054" w:type="dxa"/>
            <w:shd w:val="clear" w:color="auto" w:fill="auto"/>
          </w:tcPr>
          <w:p w:rsidR="002935AB" w:rsidRPr="00ED10F7" w:rsidRDefault="002935AB" w:rsidP="00006A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D10F7">
              <w:rPr>
                <w:rFonts w:cs="Times New Roman"/>
              </w:rPr>
              <w:t xml:space="preserve">1. если </w:t>
            </w:r>
            <w:proofErr w:type="gramStart"/>
            <w:r w:rsidRPr="00ED10F7">
              <w:rPr>
                <w:rFonts w:cs="Times New Roman"/>
              </w:rPr>
              <w:t>заполнены</w:t>
            </w:r>
            <w:proofErr w:type="gramEnd"/>
            <w:r w:rsidRPr="00ED10F7">
              <w:rPr>
                <w:rFonts w:cs="Times New Roman"/>
              </w:rPr>
              <w:t xml:space="preserve"> стр. с 60 по 66 гр. 3, 4 или стр. с 70 по 76 гр. 3, 4, 5, 6, 7, то должна быть обведена хотя бы одна строка с 01 по 31</w:t>
            </w:r>
          </w:p>
        </w:tc>
        <w:tc>
          <w:tcPr>
            <w:tcW w:w="6946" w:type="dxa"/>
            <w:shd w:val="clear" w:color="auto" w:fill="auto"/>
          </w:tcPr>
          <w:p w:rsidR="002935AB" w:rsidRPr="00ED10F7" w:rsidRDefault="002935AB" w:rsidP="00006A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D10F7">
              <w:rPr>
                <w:rFonts w:cs="Times New Roman"/>
                <w:color w:val="000000"/>
              </w:rPr>
              <w:t>6. стр. 70 гр. 3, 4, 5, 6, 7 = сумме стр. с 71 по 76 гр. 3, 4, 5, 6, 7</w:t>
            </w:r>
          </w:p>
        </w:tc>
      </w:tr>
      <w:tr w:rsidR="002935AB" w:rsidRPr="00ED10F7" w:rsidTr="00006AB5">
        <w:trPr>
          <w:jc w:val="center"/>
        </w:trPr>
        <w:tc>
          <w:tcPr>
            <w:tcW w:w="7054" w:type="dxa"/>
            <w:shd w:val="clear" w:color="auto" w:fill="auto"/>
          </w:tcPr>
          <w:p w:rsidR="002935AB" w:rsidRPr="00ED10F7" w:rsidRDefault="002935AB" w:rsidP="00006A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D10F7">
              <w:rPr>
                <w:rFonts w:cs="Times New Roman"/>
                <w:color w:val="000000"/>
              </w:rPr>
              <w:t>2. стр. 45 гр. 3, 4 = сумме стр. с 46 по 49 гр. 3, 4</w:t>
            </w:r>
          </w:p>
        </w:tc>
        <w:tc>
          <w:tcPr>
            <w:tcW w:w="6946" w:type="dxa"/>
            <w:shd w:val="clear" w:color="auto" w:fill="auto"/>
          </w:tcPr>
          <w:p w:rsidR="002935AB" w:rsidRPr="00ED10F7" w:rsidRDefault="002935AB" w:rsidP="00006A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D10F7">
              <w:rPr>
                <w:rFonts w:cs="Times New Roman"/>
                <w:color w:val="000000"/>
              </w:rPr>
              <w:t>7. по стр. с 70 по 72, с 74 по 76 гр. 5 ≥ гр. 6</w:t>
            </w:r>
          </w:p>
        </w:tc>
      </w:tr>
      <w:tr w:rsidR="002935AB" w:rsidRPr="00ED10F7" w:rsidTr="00006AB5">
        <w:trPr>
          <w:jc w:val="center"/>
        </w:trPr>
        <w:tc>
          <w:tcPr>
            <w:tcW w:w="7054" w:type="dxa"/>
            <w:shd w:val="clear" w:color="auto" w:fill="auto"/>
          </w:tcPr>
          <w:p w:rsidR="002935AB" w:rsidRPr="00ED10F7" w:rsidRDefault="002935AB" w:rsidP="00006A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D10F7">
              <w:rPr>
                <w:rFonts w:cs="Times New Roman"/>
                <w:color w:val="000000"/>
              </w:rPr>
              <w:t>3. стр. 53 гр. 3, 4 ≥ стр.54 гр. 3, 4</w:t>
            </w:r>
          </w:p>
        </w:tc>
        <w:tc>
          <w:tcPr>
            <w:tcW w:w="6946" w:type="dxa"/>
            <w:shd w:val="clear" w:color="auto" w:fill="auto"/>
          </w:tcPr>
          <w:p w:rsidR="002935AB" w:rsidRPr="00ED10F7" w:rsidRDefault="002935AB" w:rsidP="00006A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D10F7">
              <w:rPr>
                <w:rFonts w:cs="Times New Roman"/>
                <w:color w:val="000000"/>
              </w:rPr>
              <w:t>8. по стр. с 70 по 76 гр. 5 ≥ гр. 4</w:t>
            </w:r>
          </w:p>
        </w:tc>
      </w:tr>
      <w:tr w:rsidR="002935AB" w:rsidRPr="00ED10F7" w:rsidTr="00006AB5">
        <w:trPr>
          <w:jc w:val="center"/>
        </w:trPr>
        <w:tc>
          <w:tcPr>
            <w:tcW w:w="7054" w:type="dxa"/>
            <w:shd w:val="clear" w:color="auto" w:fill="auto"/>
          </w:tcPr>
          <w:p w:rsidR="002935AB" w:rsidRPr="00ED10F7" w:rsidRDefault="002935AB" w:rsidP="00006A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D10F7">
              <w:rPr>
                <w:rFonts w:cs="Times New Roman"/>
                <w:color w:val="000000"/>
              </w:rPr>
              <w:t>4. стр. 54 гр. 3, 4 ≥ стр.55 гр. 3, 4</w:t>
            </w:r>
          </w:p>
        </w:tc>
        <w:tc>
          <w:tcPr>
            <w:tcW w:w="6946" w:type="dxa"/>
            <w:shd w:val="clear" w:color="auto" w:fill="auto"/>
          </w:tcPr>
          <w:p w:rsidR="002935AB" w:rsidRPr="00ED10F7" w:rsidRDefault="002935AB" w:rsidP="00006A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D10F7">
              <w:rPr>
                <w:rFonts w:cs="Times New Roman"/>
                <w:color w:val="000000"/>
              </w:rPr>
              <w:t>9. по стр. с 70 по 72, с 74 по 76 гр. 6 ≥ гр. 4</w:t>
            </w:r>
          </w:p>
        </w:tc>
      </w:tr>
      <w:tr w:rsidR="002935AB" w:rsidRPr="00ED10F7" w:rsidTr="00006AB5">
        <w:trPr>
          <w:jc w:val="center"/>
        </w:trPr>
        <w:tc>
          <w:tcPr>
            <w:tcW w:w="7054" w:type="dxa"/>
            <w:shd w:val="clear" w:color="auto" w:fill="auto"/>
          </w:tcPr>
          <w:p w:rsidR="002935AB" w:rsidRPr="00ED10F7" w:rsidRDefault="002935AB" w:rsidP="00006A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D10F7">
              <w:rPr>
                <w:rFonts w:cs="Times New Roman"/>
                <w:color w:val="000000"/>
              </w:rPr>
              <w:t xml:space="preserve">5. стр. 61 гр. 3, </w:t>
            </w:r>
            <w:r w:rsidRPr="00ED10F7">
              <w:rPr>
                <w:rFonts w:cs="Times New Roman"/>
              </w:rPr>
              <w:t>4</w:t>
            </w:r>
            <w:r w:rsidRPr="00ED10F7">
              <w:rPr>
                <w:rFonts w:cs="Times New Roman"/>
                <w:color w:val="000000"/>
              </w:rPr>
              <w:t xml:space="preserve"> = сумме стр. с 62 по 64 гр. 3, 4</w:t>
            </w:r>
          </w:p>
        </w:tc>
        <w:tc>
          <w:tcPr>
            <w:tcW w:w="6946" w:type="dxa"/>
            <w:shd w:val="clear" w:color="auto" w:fill="auto"/>
          </w:tcPr>
          <w:p w:rsidR="002935AB" w:rsidRPr="00ED10F7" w:rsidRDefault="002935AB" w:rsidP="00006AB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D10F7">
              <w:rPr>
                <w:rFonts w:cs="Times New Roman"/>
                <w:color w:val="000000"/>
              </w:rPr>
              <w:t>10. стр. с 40 по 82 ≥ 0</w:t>
            </w:r>
          </w:p>
        </w:tc>
      </w:tr>
    </w:tbl>
    <w:p w:rsidR="00C5560E" w:rsidRDefault="00C5560E" w:rsidP="002935AB">
      <w:pPr>
        <w:spacing w:after="200" w:line="276" w:lineRule="auto"/>
      </w:pPr>
    </w:p>
    <w:sectPr w:rsidR="00C5560E" w:rsidSect="002935A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5AB"/>
    <w:rsid w:val="001764DE"/>
    <w:rsid w:val="00271AB8"/>
    <w:rsid w:val="002935AB"/>
    <w:rsid w:val="005F537B"/>
    <w:rsid w:val="00742C74"/>
    <w:rsid w:val="00C5560E"/>
    <w:rsid w:val="00D02E0C"/>
    <w:rsid w:val="00D434AE"/>
    <w:rsid w:val="00D8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AB"/>
    <w:pPr>
      <w:ind w:firstLine="0"/>
      <w:jc w:val="left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2935AB"/>
    <w:pPr>
      <w:ind w:firstLine="0"/>
      <w:jc w:val="left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3">
    <w:name w:val="Номер Приложения"/>
    <w:basedOn w:val="1"/>
    <w:rsid w:val="002935AB"/>
    <w:pPr>
      <w:keepLines w:val="0"/>
      <w:spacing w:before="240" w:after="60"/>
      <w:jc w:val="right"/>
    </w:pPr>
    <w:rPr>
      <w:rFonts w:ascii="Arial" w:eastAsia="Times New Roman" w:hAnsi="Arial" w:cs="Arial"/>
      <w:color w:val="auto"/>
      <w:spacing w:val="1"/>
      <w:kern w:val="32"/>
      <w:sz w:val="32"/>
      <w:szCs w:val="32"/>
    </w:rPr>
  </w:style>
  <w:style w:type="paragraph" w:styleId="a4">
    <w:name w:val="Plain Text"/>
    <w:basedOn w:val="a"/>
    <w:link w:val="a5"/>
    <w:unhideWhenUsed/>
    <w:rsid w:val="002935A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2935A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rmal">
    <w:name w:val="Normal Знак"/>
    <w:link w:val="11"/>
    <w:locked/>
    <w:rsid w:val="002935A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2935A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DBC45D3EAE13790B9D1FC9B52BBE696B9D17E2A4F371670CF1F98B1D2E82AAA114998FCC933B99FC396FB97BED4A60DD72FB6E79F85E23sBR8L" TargetMode="External"/><Relationship Id="rId5" Type="http://schemas.openxmlformats.org/officeDocument/2006/relationships/hyperlink" Target="consultantplus://offline/ref=47DBC45D3EAE13790B9D1FC9B52BBE696B9D17E2A4F371670CF1F98B1D2E82AAA114998FCC933B99FC396FB97BED4A60DD72FB6E79F85E23sBR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AF426-E486-4AB9-83C9-95085982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3328</Words>
  <Characters>18975</Characters>
  <Application>Microsoft Office Word</Application>
  <DocSecurity>0</DocSecurity>
  <Lines>158</Lines>
  <Paragraphs>44</Paragraphs>
  <ScaleCrop>false</ScaleCrop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p41_zaikovaom</dc:creator>
  <cp:lastModifiedBy>p41_zaikovaom</cp:lastModifiedBy>
  <cp:revision>3</cp:revision>
  <dcterms:created xsi:type="dcterms:W3CDTF">2021-02-10T04:02:00Z</dcterms:created>
  <dcterms:modified xsi:type="dcterms:W3CDTF">2021-03-09T22:51:00Z</dcterms:modified>
</cp:coreProperties>
</file>